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1A1A2E" w:val="clear"/>
            <w:tcMar>
              <w:top w:type="dxa" w:w="260"/>
              <w:left w:type="dxa" w:w="320"/>
              <w:bottom w:type="dxa" w:w="260"/>
              <w:right w:type="dxa" w:w="3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L'entreprise individuelle classique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color w:val="52D4D4"/>
                <w:sz w:val="24"/>
                <w:szCs w:val="24"/>
              </w:rPr>
              <w:t xml:space="preserve">L'essentiel pour accompagner vos porteurs de projet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color w:val="888888"/>
                <w:sz w:val="18"/>
                <w:szCs w:val="18"/>
              </w:rPr>
              <w:t xml:space="preserve">Compétences RS6556 : C5 — statut juridique · C6 — formalités de création</w:t>
            </w:r>
          </w:p>
        </w:tc>
      </w:tr>
    </w:tbl>
    <w:p>
      <w:pPr>
        <w:spacing w:after="0" w:before="14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En un coup d'œil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Entreprise individuelle (EI) — régime réel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Aussi appelée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Entreprise en nom propre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Nombre d'associés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1 seul — l'entrepreneur et l'entreprise ne font qu'un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Capital minimum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Limitée au patrimoine professionnel (depuis 2022)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Dirigeant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Entrepreneur individuel / Exploitant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TNS — Sécurité Sociale des Indépendants (SSI)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Imposition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IR par défaut — option IS possible depuis 2022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TVA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Oui (franchise en base si CA sous les seuils micro)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Régime réel simplifié ou normal selon le CA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Plafond CA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Aucun plafond (contrairement au régime micro)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89"/>
        <w:gridCol w:w="60"/>
        <w:gridCol w:w="4789"/>
      </w:tblGrid>
      <w:tr>
        <w:tc>
          <w:tcPr>
            <w:tcW w:type="dxa" w:w="4789"/>
            <w:tcBorders>
              <w:top w:val="single" w:color="1C6B3A" w:sz="1"/>
              <w:left w:val="single" w:color="1C6B3A" w:sz="8"/>
              <w:bottom w:val="single" w:color="1C6B3A" w:sz="1"/>
              <w:right w:val="single" w:color="1C6B3A" w:sz="1"/>
            </w:tcBorders>
            <w:shd w:fill="E8F5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C6B3A"/>
                <w:sz w:val="20"/>
                <w:szCs w:val="20"/>
              </w:rPr>
              <w:t xml:space="preserve">✅  Idéal pour...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Charges réelles importantes à déduire (matériel, local, véhicule...)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Activités saisonnières ou ambulantes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Professions réglementées souhaitant rester en entreprise individuelle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CA dépassant les seuils micro mais sans besoin d'associés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Porteur souhaitant démarrer simplement, sans statuts ni annonce légale</w:t>
            </w:r>
          </w:p>
        </w:tc>
        <w:tc>
          <w:tcPr>
            <w:tcW w:type="dxa" w:w="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4789"/>
            <w:tcBorders>
              <w:top w:val="single" w:color="C0392B" w:sz="1"/>
              <w:left w:val="single" w:color="C0392B" w:sz="8"/>
              <w:bottom w:val="single" w:color="C0392B" w:sz="1"/>
              <w:right w:val="single" w:color="C0392B" w:sz="1"/>
            </w:tcBorders>
            <w:shd w:fill="FDECE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❌  Pas adapté si...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CA très faible ou complémentaire (→ micro-entreprise)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Projet ambitieux avec associés (→ société EURL/SASU)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Besoin de crédibilité formelle (Kbis) face aux partenaires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Transmission de l'entreprise envisagée à court terme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Besoin de financement externe important (investisseurs)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Fiscalité &amp; cotisations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5FA5" w:sz="1"/>
              <w:left w:val="single" w:color="1A5FA5" w:sz="8"/>
              <w:bottom w:val="single" w:color="1A5FA5" w:sz="1"/>
              <w:right w:val="single" w:color="1A5FA5" w:sz="1"/>
            </w:tcBorders>
            <w:shd w:fill="EAF2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A5FA5"/>
                <w:sz w:val="20"/>
                <w:szCs w:val="20"/>
              </w:rPr>
              <w:t xml:space="preserve">Comment est calculé le bénéfice imposable ?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CA encaissé HT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− Charges d'exploitation réelles (loyer, matériel, frais de déplacement, formation, sous-traitance...)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− Cotisations sociales TNS (calculées sur le bénéfice N-1, avec régularisation annuelle)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= Bénéfice imposable → intégré aux revenus du foyer, soumis à l'impôt sur le revenu (barème progressif)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⚠️  Les prélèvements personnels (ce que le dirigeant se verse pour vivre) ne sont PAS déductibles.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ℹ️  Option IS possible depuis 2022 — si optée, fonctionne comme une EURL à l'IS.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A8E8E" w:sz="1"/>
              <w:left w:val="single" w:color="0A8E8E" w:sz="8"/>
              <w:bottom w:val="single" w:color="0A8E8E" w:sz="1"/>
              <w:right w:val="single" w:color="0A8E8E" w:sz="1"/>
            </w:tcBorders>
            <w:shd w:fill="E6F7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Cotisations sociales TNS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Régime : SSI (Sécurité Sociale des Indépendants) — taux global ≈ 40-45% du bénéfice.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Calculées sur le bénéfice de l'année précédente + régularisation en cours d'année.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Cotisation minimale ≈ 1 100€/an même si le bénéfice est nul (retraite, maladie de base).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Pas d'assurance chômage — à compenser par une prévoyance individuelle.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Démarches de création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038"/>
      </w:tblGrid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1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Vérifier si l'activité est réglementée (artisan, commerçant, profession libérale réglementée...) — chaque secteur a ses conditions d'exercice spécifiques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2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Déclarer l'activité en ligne sur guichet-entreprises.fr → obtention du numéro SIREN/SIRET et du code APE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3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Choisir le régime fiscal : IR par défaut ou option IS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4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Choisir le régime d'imposition : réel simplifié (&lt; 840 000€ vente / &lt; 254 000€ services) ou réel normal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5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Ouvrir un compte bancaire dédié à l'activité (non obligatoire, mais très recommandé pour la clarté comptable)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6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Souscrire les assurances obligatoires selon l'activité (RC Pro, décennale BTP, assurance véhicule pro...)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7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Demander l'ACRE à l'URSSAF dans les 60 jours si le porteur est éligible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8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19"/>
                <w:szCs w:val="19"/>
              </w:rPr>
              <w:t xml:space="preserve">Tenir le livre de recettes + registre des achats (ou confier à un expert-comptable)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89"/>
        <w:gridCol w:w="60"/>
        <w:gridCol w:w="4789"/>
      </w:tblGrid>
      <w:tr>
        <w:tc>
          <w:tcPr>
            <w:tcW w:type="dxa" w:w="4789"/>
            <w:tcBorders>
              <w:top w:val="single" w:color="E07B00" w:sz="1"/>
              <w:left w:val="single" w:color="E07B00" w:sz="8"/>
              <w:bottom w:val="single" w:color="E07B00" w:sz="1"/>
              <w:right w:val="single" w:color="E07B00" w:sz="1"/>
            </w:tcBorders>
            <w:shd w:fill="FFF4E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07B00"/>
                <w:sz w:val="20"/>
                <w:szCs w:val="20"/>
              </w:rPr>
              <w:t xml:space="preserve">Points de vigilance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Cotisation minimale SSI ≈ 1 100€/an même si bénéfice nul — à anticiper dans la trésorerie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L'EI ne peut pas avoir d'associés — si le projet évolue, passage en société obligatoire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La transmission est plus complexe qu'en société (cession de fonds de commerce, pas de parts)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La séparation du patrimoine (2022) peut être levée en cas de faute de gestion grave</w:t>
            </w:r>
          </w:p>
        </w:tc>
        <w:tc>
          <w:tcPr>
            <w:tcW w:type="dxa" w:w="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4789"/>
            <w:tcBorders>
              <w:top w:val="single" w:color="1C6B3A" w:sz="1"/>
              <w:left w:val="single" w:color="1C6B3A" w:sz="8"/>
              <w:bottom w:val="single" w:color="1C6B3A" w:sz="1"/>
              <w:right w:val="single" w:color="1C6B3A" w:sz="1"/>
            </w:tcBorders>
            <w:shd w:fill="E8F5E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C6B3A"/>
                <w:sz w:val="20"/>
                <w:szCs w:val="20"/>
              </w:rPr>
              <w:t xml:space="preserve">Avantages clés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Création gratuite et ultra-rapide (quelques heures sur guichet-entreprises.fr)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Toutes les charges réelles déductibles (vs abattement forfaitaire de la micro)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Gestion comptable allégée au régime réel simplifié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Option IS depuis 2022 : flexibilité fiscale nouvelle, sans frais de transformation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Pas d'annonce légale, pas de statuts, pas de capital minimum</w:t>
            </w:r>
          </w:p>
        </w:tc>
      </w:tr>
    </w:tbl>
    <w:p>
      <w:pPr>
        <w:spacing w:after="0" w:before="14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A8E8E" w:sz="6"/>
              <w:left w:val="single" w:color="0A8E8E" w:sz="6"/>
              <w:bottom w:val="single" w:color="0A8E8E" w:sz="6"/>
              <w:right w:val="single" w:color="0A8E8E" w:sz="6"/>
            </w:tcBorders>
            <w:shd w:fill="E6F7F7" w:val="clear"/>
            <w:tcMar>
              <w:top w:type="dxa" w:w="180"/>
              <w:left w:type="dxa" w:w="280"/>
              <w:bottom w:type="dxa" w:w="180"/>
              <w:right w:type="dxa" w:w="280"/>
            </w:tcMar>
          </w:tcPr>
          <w:p>
            <w:pPr>
              <w:spacing w:after="8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1A1A2E"/>
                <w:sz w:val="24"/>
                <w:szCs w:val="24"/>
              </w:rPr>
              <w:t xml:space="preserve">Vous accompagnez des porteurs de projet au quotidien ?</w:t>
            </w:r>
          </w:p>
          <w:p>
            <w:pPr>
              <w:spacing w:after="80" w:before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6B6B7B"/>
                <w:sz w:val="20"/>
                <w:szCs w:val="20"/>
              </w:rPr>
              <w:t xml:space="preserve">La certification ProAcc (RS6556) — finançable AIF, OPCO, CPF, CSP</w:t>
            </w:r>
          </w:p>
          <w:p>
            <w:pPr>
              <w:spacing w:after="80" w:before="4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3 formules : 1 650€ · 2 600€ · 3 300€   |   100% distanciel   |   RS6556 active France Compétences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Simuler mon financement → creactifs.com/proacc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60" w:before="40"/>
        <w:jc w:val="center"/>
      </w:pPr>
      <w:r>
        <w:rPr>
          <w:rFonts w:ascii="Arial" w:cs="Arial" w:eastAsia="Arial" w:hAnsi="Arial"/>
          <w:b w:val="false"/>
          <w:bCs w:val="false"/>
          <w:color w:val="6B6B7B"/>
          <w:sz w:val="16"/>
          <w:szCs w:val="16"/>
        </w:rPr>
        <w:t xml:space="preserve">© CréActifs 2026 — Fiche mise à jour juin 2026 — creactifs.com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9638"/>
    </w:tblGrid>
    <w:tr>
      <w:tc>
        <w:tcPr>
          <w:tcW w:type="dxa" w:w="9638"/>
          <w:tcBorders>
            <w:top w:val="single" w:color="0A8E8E" w:sz="1"/>
            <w:left w:val="none"/>
            <w:bottom w:val="none"/>
            <w:right w:val="none"/>
          </w:tcBorders>
          <w:shd w:fill="1A1A2E" w:val="clear"/>
          <w:tcMar>
            <w:top w:type="dxa" w:w="100"/>
            <w:left w:type="dxa" w:w="160"/>
            <w:bottom w:type="dxa" w:w="100"/>
            <w:right w:type="dxa" w:w="160"/>
          </w:tcMar>
        </w:tcPr>
        <w:p>
          <w:pPr>
            <w:spacing w:after="0" w:before="0"/>
          </w:pPr>
          <w:r>
            <w:rPr>
              <w:rFonts w:ascii="Arial" w:cs="Arial" w:eastAsia="Arial" w:hAnsi="Arial"/>
              <w:b w:val="false"/>
              <w:bCs w:val="false"/>
              <w:color w:val="FFFFFF"/>
              <w:sz w:val="17"/>
              <w:szCs w:val="17"/>
            </w:rPr>
            <w:t xml:space="preserve">Découvrez la certification ProAcc RS6556 — finançable AIF, OPCO, CPF   </w:t>
          </w:r>
          <w:r>
            <w:rPr>
              <w:rFonts w:ascii="Arial" w:cs="Arial" w:eastAsia="Arial" w:hAnsi="Arial"/>
              <w:b/>
              <w:bCs/>
              <w:color w:val="52D4D4"/>
              <w:sz w:val="17"/>
              <w:szCs w:val="17"/>
            </w:rPr>
            <w:t xml:space="preserve">creactifs.com/proacc</w:t>
          </w:r>
          <w:r>
            <w:rPr>
              <w:rFonts w:ascii="Arial" w:cs="Arial" w:eastAsia="Arial" w:hAnsi="Arial"/>
              <w:b w:val="false"/>
              <w:bCs w:val="false"/>
              <w:color w:val="6B6B7B"/>
              <w:sz w:val="15"/>
              <w:szCs w:val="15"/>
            </w:rPr>
            <w:t xml:space="preserve">   |   utm_source=pdf&amp;utm_medium=fiche&amp;utm_campaign=ei-classique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38"/>
      <w:gridCol w:w="3000"/>
    </w:tblGrid>
    <w:tr>
      <w:tc>
        <w:tcPr>
          <w:tcW w:type="dxa" w:w="6638"/>
          <w:tcBorders>
            <w:top w:val="none"/>
            <w:left w:val="none"/>
            <w:bottom w:val="single" w:color="0A8E8E" w:sz="1"/>
            <w:right w:val="none"/>
          </w:tcBorders>
          <w:tcMar>
            <w:top w:type="dxa" w:w="0"/>
            <w:left w:type="dxa" w:w="0"/>
            <w:bottom w:type="dxa" w:w="80"/>
            <w:right w:type="dxa" w:w="0"/>
          </w:tcMar>
        </w:tcPr>
        <w:p>
          <w:pPr>
            <w:spacing w:after="20" w:before="0"/>
          </w:pPr>
          <w:r>
            <w:rPr>
              <w:rFonts w:ascii="Arial" w:cs="Arial" w:eastAsia="Arial" w:hAnsi="Arial"/>
              <w:b/>
              <w:bCs/>
              <w:color w:val="0A8E8E"/>
              <w:sz w:val="30"/>
              <w:szCs w:val="30"/>
            </w:rPr>
            <w:t xml:space="preserve">CréActifs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b w:val="false"/>
              <w:bCs w:val="false"/>
              <w:color w:val="6B6B7B"/>
              <w:sz w:val="17"/>
              <w:szCs w:val="17"/>
            </w:rPr>
            <w:t xml:space="preserve">Accompagner les créateurs d'entreprise vers le succès</w:t>
          </w:r>
        </w:p>
      </w:tc>
      <w:tc>
        <w:tcPr>
          <w:tcW w:type="dxa" w:w="3000"/>
          <w:tcBorders>
            <w:top w:val="none"/>
            <w:left w:val="none"/>
            <w:bottom w:val="single" w:color="0A8E8E" w:sz="1"/>
            <w:right w:val="none"/>
          </w:tcBorders>
          <w:tcMar>
            <w:top w:type="dxa" w:w="0"/>
            <w:left w:type="dxa" w:w="0"/>
            <w:bottom w:type="dxa" w:w="80"/>
            <w:right w:type="dxa" w:w="0"/>
          </w:tcMar>
          <w:vAlign w:val="bottom"/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b/>
              <w:bCs/>
              <w:color w:val="0A8E8E"/>
              <w:sz w:val="17"/>
              <w:szCs w:val="17"/>
            </w:rPr>
            <w:t xml:space="preserve">FICHE PRATIQUE | Statuts juridiques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8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2026-07-01T09:56:47.889Z</dcterms:created>
  <dcterms:modified xsi:type="dcterms:W3CDTF">2026-07-01T09:56:47.889Z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