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rFonts w:ascii="Arial" w:cs="Arial" w:eastAsia="Arial" w:hAnsi="Arial"/>
          <w:b/>
          <w:bCs/>
          <w:i w:val="false"/>
          <w:iCs w:val="false"/>
          <w:color w:val="1A1A2E"/>
          <w:sz w:val="40"/>
          <w:szCs w:val="40"/>
        </w:rPr>
        <w:t xml:space="preserve">L'EURL (SARL à associé unique)</w:t>
      </w:r>
    </w:p>
    <w:p>
      <w:pPr>
        <w:spacing w:after="40"/>
      </w:pPr>
      <w:r>
        <w:rPr>
          <w:rFonts w:ascii="Arial" w:cs="Arial" w:eastAsia="Arial" w:hAnsi="Arial"/>
          <w:b w:val="false"/>
          <w:bCs w:val="false"/>
          <w:i/>
          <w:iCs/>
          <w:color w:val="6B6B7B"/>
          <w:sz w:val="22"/>
          <w:szCs w:val="22"/>
        </w:rPr>
        <w:t xml:space="preserve">L'essentiel pour accompagner vos porteurs de projet</w:t>
      </w:r>
    </w:p>
    <w:p>
      <w:pPr>
        <w:spacing w:after="12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A8E8E"/>
          <w:sz w:val="18"/>
          <w:szCs w:val="18"/>
        </w:rPr>
        <w:t xml:space="preserve">Compétences RS6556 : C5 — statut juridique · C6 — formalités de création</w:t>
      </w:r>
    </w:p>
    <w:p>
      <w:pPr>
        <w:pBdr>
          <w:bottom w:val="single" w:color="0A8E8E" w:sz="6" w:space="4"/>
        </w:pBdr>
        <w:spacing w:after="120" w:before="280"/>
      </w:pPr>
      <w:r>
        <w:rPr>
          <w:rFonts w:ascii="Arial" w:cs="Arial" w:eastAsia="Arial" w:hAnsi="Arial"/>
          <w:b/>
          <w:bCs/>
          <w:i w:val="false"/>
          <w:iCs w:val="false"/>
          <w:color w:val="0A8E8E"/>
          <w:sz w:val="26"/>
          <w:szCs w:val="26"/>
        </w:rPr>
        <w:t xml:space="preserve">En un coup d'œil</w:t>
      </w:r>
    </w:p>
    <w:tbl>
      <w:tblPr>
        <w:tblW w:type="dxa" w:w="9000"/>
        <w:tblBorders>
          <w:top w:val="single" w:color="E4E1D6" w:sz="2"/>
          <w:left w:val="single" w:color="E4E1D6" w:sz="2"/>
          <w:bottom w:val="single" w:color="E4E1D6" w:sz="2"/>
          <w:right w:val="single" w:color="E4E1D6" w:sz="2"/>
          <w:insideH w:val="single" w:color="E4E1D6" w:sz="2"/>
          <w:insideV w:val="single" w:color="E4E1D6" w:sz="2"/>
        </w:tblBorders>
      </w:tblPr>
      <w:tblGrid>
        <w:gridCol w:w="3100"/>
        <w:gridCol w:w="5900"/>
      </w:tblGrid>
      <w:tr>
        <w:tc>
          <w:tcPr>
            <w:tcW w:type="dxa" w:w="3100"/>
            <w:shd w:fill="F7F7F5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2E"/>
                <w:sz w:val="19"/>
                <w:szCs w:val="19"/>
              </w:rPr>
              <w:t xml:space="preserve">Forme juridique</w:t>
            </w:r>
          </w:p>
        </w:tc>
        <w:tc>
          <w:tcPr>
            <w:tcW w:type="dxa" w:w="5900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2E"/>
                <w:sz w:val="19"/>
                <w:szCs w:val="19"/>
              </w:rPr>
              <w:t xml:space="preserve">Société — EURL (SARL à associé unique)</w:t>
            </w:r>
          </w:p>
        </w:tc>
      </w:tr>
      <w:tr>
        <w:tc>
          <w:tcPr>
            <w:tcW w:type="dxa" w:w="3100"/>
            <w:shd w:fill="F7F7F5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2E"/>
                <w:sz w:val="19"/>
                <w:szCs w:val="19"/>
              </w:rPr>
              <w:t xml:space="preserve">Aussi appelée</w:t>
            </w:r>
          </w:p>
        </w:tc>
        <w:tc>
          <w:tcPr>
            <w:tcW w:type="dxa" w:w="5900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2E"/>
                <w:sz w:val="19"/>
                <w:szCs w:val="19"/>
              </w:rPr>
              <w:t xml:space="preserve">SARL unipersonnelle</w:t>
            </w:r>
          </w:p>
        </w:tc>
      </w:tr>
      <w:tr>
        <w:tc>
          <w:tcPr>
            <w:tcW w:type="dxa" w:w="3100"/>
            <w:shd w:fill="F7F7F5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2E"/>
                <w:sz w:val="19"/>
                <w:szCs w:val="19"/>
              </w:rPr>
              <w:t xml:space="preserve">Nombre d'associés</w:t>
            </w:r>
          </w:p>
        </w:tc>
        <w:tc>
          <w:tcPr>
            <w:tcW w:type="dxa" w:w="5900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2E"/>
                <w:sz w:val="19"/>
                <w:szCs w:val="19"/>
              </w:rPr>
              <w:t xml:space="preserve">1 seul (l'associé unique)</w:t>
            </w:r>
          </w:p>
        </w:tc>
      </w:tr>
      <w:tr>
        <w:tc>
          <w:tcPr>
            <w:tcW w:type="dxa" w:w="3100"/>
            <w:shd w:fill="F7F7F5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2E"/>
                <w:sz w:val="19"/>
                <w:szCs w:val="19"/>
              </w:rPr>
              <w:t xml:space="preserve">Capital minimum</w:t>
            </w:r>
          </w:p>
        </w:tc>
        <w:tc>
          <w:tcPr>
            <w:tcW w:type="dxa" w:w="5900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2E"/>
                <w:sz w:val="19"/>
                <w:szCs w:val="19"/>
              </w:rPr>
              <w:t xml:space="preserve">Libre (1 € minimum)</w:t>
            </w:r>
          </w:p>
        </w:tc>
      </w:tr>
      <w:tr>
        <w:tc>
          <w:tcPr>
            <w:tcW w:type="dxa" w:w="3100"/>
            <w:shd w:fill="F7F7F5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2E"/>
                <w:sz w:val="19"/>
                <w:szCs w:val="19"/>
              </w:rPr>
              <w:t xml:space="preserve">Responsabilité</w:t>
            </w:r>
          </w:p>
        </w:tc>
        <w:tc>
          <w:tcPr>
            <w:tcW w:type="dxa" w:w="5900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2E"/>
                <w:sz w:val="19"/>
                <w:szCs w:val="19"/>
              </w:rPr>
              <w:t xml:space="preserve">Limitée aux apports</w:t>
            </w:r>
          </w:p>
        </w:tc>
      </w:tr>
      <w:tr>
        <w:tc>
          <w:tcPr>
            <w:tcW w:type="dxa" w:w="3100"/>
            <w:shd w:fill="F7F7F5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2E"/>
                <w:sz w:val="19"/>
                <w:szCs w:val="19"/>
              </w:rPr>
              <w:t xml:space="preserve">Dirigeant</w:t>
            </w:r>
          </w:p>
        </w:tc>
        <w:tc>
          <w:tcPr>
            <w:tcW w:type="dxa" w:w="5900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2E"/>
                <w:sz w:val="19"/>
                <w:szCs w:val="19"/>
              </w:rPr>
              <w:t xml:space="preserve">Gérant — l'associé unique ou un tiers</w:t>
            </w:r>
          </w:p>
        </w:tc>
      </w:tr>
      <w:tr>
        <w:tc>
          <w:tcPr>
            <w:tcW w:type="dxa" w:w="3100"/>
            <w:shd w:fill="F7F7F5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2E"/>
                <w:sz w:val="19"/>
                <w:szCs w:val="19"/>
              </w:rPr>
              <w:t xml:space="preserve">Régime social</w:t>
            </w:r>
          </w:p>
        </w:tc>
        <w:tc>
          <w:tcPr>
            <w:tcW w:type="dxa" w:w="5900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2E"/>
                <w:sz w:val="19"/>
                <w:szCs w:val="19"/>
              </w:rPr>
              <w:t xml:space="preserve">TNS (SSI) si le gérant est l'associé unique</w:t>
            </w:r>
          </w:p>
        </w:tc>
      </w:tr>
      <w:tr>
        <w:tc>
          <w:tcPr>
            <w:tcW w:type="dxa" w:w="3100"/>
            <w:shd w:fill="F7F7F5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2E"/>
                <w:sz w:val="19"/>
                <w:szCs w:val="19"/>
              </w:rPr>
              <w:t xml:space="preserve">Imposition</w:t>
            </w:r>
          </w:p>
        </w:tc>
        <w:tc>
          <w:tcPr>
            <w:tcW w:type="dxa" w:w="5900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2E"/>
                <w:sz w:val="19"/>
                <w:szCs w:val="19"/>
              </w:rPr>
              <w:t xml:space="preserve">IR par défaut — option IS possible</w:t>
            </w:r>
          </w:p>
        </w:tc>
      </w:tr>
      <w:tr>
        <w:tc>
          <w:tcPr>
            <w:tcW w:type="dxa" w:w="3100"/>
            <w:shd w:fill="F7F7F5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2E"/>
                <w:sz w:val="19"/>
                <w:szCs w:val="19"/>
              </w:rPr>
              <w:t xml:space="preserve">TVA</w:t>
            </w:r>
          </w:p>
        </w:tc>
        <w:tc>
          <w:tcPr>
            <w:tcW w:type="dxa" w:w="5900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2E"/>
                <w:sz w:val="19"/>
                <w:szCs w:val="19"/>
              </w:rPr>
              <w:t xml:space="preserve">Oui (franchise en base sous les seuils)</w:t>
            </w:r>
          </w:p>
        </w:tc>
      </w:tr>
      <w:tr>
        <w:tc>
          <w:tcPr>
            <w:tcW w:type="dxa" w:w="3100"/>
            <w:shd w:fill="F7F7F5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2E"/>
                <w:sz w:val="19"/>
                <w:szCs w:val="19"/>
              </w:rPr>
              <w:t xml:space="preserve">Comptabilité</w:t>
            </w:r>
          </w:p>
        </w:tc>
        <w:tc>
          <w:tcPr>
            <w:tcW w:type="dxa" w:w="5900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2E"/>
                <w:sz w:val="19"/>
                <w:szCs w:val="19"/>
              </w:rPr>
              <w:t xml:space="preserve">Complète (bilan, compte de résultat, annexe)</w:t>
            </w:r>
          </w:p>
        </w:tc>
      </w:tr>
      <w:tr>
        <w:tc>
          <w:tcPr>
            <w:tcW w:type="dxa" w:w="3100"/>
            <w:shd w:fill="F7F7F5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2E"/>
                <w:sz w:val="19"/>
                <w:szCs w:val="19"/>
              </w:rPr>
              <w:t xml:space="preserve">Plafond CA</w:t>
            </w:r>
          </w:p>
        </w:tc>
        <w:tc>
          <w:tcPr>
            <w:tcW w:type="dxa" w:w="5900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2E"/>
                <w:sz w:val="19"/>
                <w:szCs w:val="19"/>
              </w:rPr>
              <w:t xml:space="preserve">Aucun</w:t>
            </w:r>
          </w:p>
        </w:tc>
      </w:tr>
    </w:tbl>
    <w:p>
      <w:pPr>
        <w:pBdr>
          <w:bottom w:val="single" w:color="0A8E8E" w:sz="6" w:space="4"/>
        </w:pBdr>
        <w:spacing w:after="120" w:before="280"/>
      </w:pPr>
      <w:r>
        <w:rPr>
          <w:rFonts w:ascii="Arial" w:cs="Arial" w:eastAsia="Arial" w:hAnsi="Arial"/>
          <w:b/>
          <w:bCs/>
          <w:i w:val="false"/>
          <w:iCs w:val="false"/>
          <w:color w:val="0A8E8E"/>
          <w:sz w:val="26"/>
          <w:szCs w:val="26"/>
        </w:rPr>
        <w:t xml:space="preserve">✅  Idéal pour...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2E"/>
          <w:sz w:val="20"/>
          <w:szCs w:val="20"/>
        </w:rPr>
        <w:t xml:space="preserve">Entreprendre seul en protégeant son patrimoine personnel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2E"/>
          <w:sz w:val="20"/>
          <w:szCs w:val="20"/>
        </w:rPr>
        <w:t xml:space="preserve">Se donner un cadre crédible (Kbis) face aux clients et partenaires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2E"/>
          <w:sz w:val="20"/>
          <w:szCs w:val="20"/>
        </w:rPr>
        <w:t xml:space="preserve">Préparer l'arrivée future d'associés (passage en SARL simple)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2E"/>
          <w:sz w:val="20"/>
          <w:szCs w:val="20"/>
        </w:rPr>
        <w:t xml:space="preserve">Choisir entre IR et IS selon la situation du porteur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2E"/>
          <w:sz w:val="20"/>
          <w:szCs w:val="20"/>
        </w:rPr>
        <w:t xml:space="preserve">Structurer une activité destinée à se développer</w:t>
      </w:r>
    </w:p>
    <w:p>
      <w:pPr>
        <w:pBdr>
          <w:bottom w:val="single" w:color="0A8E8E" w:sz="6" w:space="4"/>
        </w:pBdr>
        <w:spacing w:after="120" w:before="280"/>
      </w:pPr>
      <w:r>
        <w:rPr>
          <w:rFonts w:ascii="Arial" w:cs="Arial" w:eastAsia="Arial" w:hAnsi="Arial"/>
          <w:b/>
          <w:bCs/>
          <w:i w:val="false"/>
          <w:iCs w:val="false"/>
          <w:color w:val="0A8E8E"/>
          <w:sz w:val="26"/>
          <w:szCs w:val="26"/>
        </w:rPr>
        <w:t xml:space="preserve">❌  Pas adapté si...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2E"/>
          <w:sz w:val="20"/>
          <w:szCs w:val="20"/>
        </w:rPr>
        <w:t xml:space="preserve">Le porteur veut la simplicité maximale (→ micro-entreprise / EI)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2E"/>
          <w:sz w:val="20"/>
          <w:szCs w:val="20"/>
        </w:rPr>
        <w:t xml:space="preserve">Plusieurs associés sont prévus dès le départ (→ SARL)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2E"/>
          <w:sz w:val="20"/>
          <w:szCs w:val="20"/>
        </w:rPr>
        <w:t xml:space="preserve">Le dirigeant souhaite le régime assimilé salarié (→ SASU)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2E"/>
          <w:sz w:val="20"/>
          <w:szCs w:val="20"/>
        </w:rPr>
        <w:t xml:space="preserve">L'activité est très faible ou complémentaire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2E"/>
          <w:sz w:val="20"/>
          <w:szCs w:val="20"/>
        </w:rPr>
        <w:t xml:space="preserve">Le porteur veut éviter la comptabilité complète</w:t>
      </w:r>
    </w:p>
    <w:p>
      <w:pPr>
        <w:pBdr>
          <w:bottom w:val="single" w:color="0A8E8E" w:sz="6" w:space="4"/>
        </w:pBdr>
        <w:spacing w:after="120" w:before="280"/>
      </w:pPr>
      <w:r>
        <w:rPr>
          <w:rFonts w:ascii="Arial" w:cs="Arial" w:eastAsia="Arial" w:hAnsi="Arial"/>
          <w:b/>
          <w:bCs/>
          <w:i w:val="false"/>
          <w:iCs w:val="false"/>
          <w:color w:val="0A8E8E"/>
          <w:sz w:val="26"/>
          <w:szCs w:val="26"/>
        </w:rPr>
        <w:t xml:space="preserve">Fiscalité &amp; cotisations</w:t>
      </w:r>
    </w:p>
    <w:p>
      <w:pPr>
        <w:spacing w:after="80" w:before="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2E"/>
          <w:sz w:val="20"/>
          <w:szCs w:val="20"/>
        </w:rPr>
        <w:t xml:space="preserve">Imposition : IR par défaut (le bénéfice est imposé au barème progressif au nom de l'associé unique). Option pour l'IS possible (15 % jusqu'à 42 500 € de bénéfice, 25 % au-delà).</w:t>
      </w:r>
    </w:p>
    <w:p>
      <w:pPr>
        <w:spacing w:after="80" w:before="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2E"/>
          <w:sz w:val="20"/>
          <w:szCs w:val="20"/>
        </w:rPr>
        <w:t xml:space="preserve">Régime social du dirigeant : gérant associé unique = TNS, affilié à la SSI (cotisations ≈ 40-45 %). Pas d'assurance chômage.</w:t>
      </w:r>
    </w:p>
    <w:p>
      <w:pPr>
        <w:spacing w:after="80" w:before="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2E"/>
          <w:sz w:val="20"/>
          <w:szCs w:val="20"/>
        </w:rPr>
        <w:t xml:space="preserve">À l'IS, la rémunération du gérant est déductible ; les dividendes au-delà de 10 % du capital sont soumis à cotisations sociales.</w:t>
      </w:r>
    </w:p>
    <w:p>
      <w:pPr>
        <w:spacing w:after="80" w:before="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2E"/>
          <w:sz w:val="20"/>
          <w:szCs w:val="20"/>
        </w:rPr>
        <w:t xml:space="preserve">Cotisation minimale SSI à anticiper même si le bénéfice est faible.</w:t>
      </w:r>
    </w:p>
    <w:p>
      <w:pPr>
        <w:pBdr>
          <w:bottom w:val="single" w:color="0A8E8E" w:sz="6" w:space="4"/>
        </w:pBdr>
        <w:spacing w:after="120" w:before="280"/>
      </w:pPr>
      <w:r>
        <w:rPr>
          <w:rFonts w:ascii="Arial" w:cs="Arial" w:eastAsia="Arial" w:hAnsi="Arial"/>
          <w:b/>
          <w:bCs/>
          <w:i w:val="false"/>
          <w:iCs w:val="false"/>
          <w:color w:val="0A8E8E"/>
          <w:sz w:val="26"/>
          <w:szCs w:val="26"/>
        </w:rPr>
        <w:t xml:space="preserve">Démarches de création</w:t>
      </w:r>
    </w:p>
    <w:p>
      <w:pPr>
        <w:spacing w:after="80"/>
      </w:pPr>
      <w:r>
        <w:rPr>
          <w:rFonts w:ascii="Arial" w:cs="Arial" w:eastAsia="Arial" w:hAnsi="Arial"/>
          <w:b/>
          <w:bCs/>
          <w:i w:val="false"/>
          <w:iCs w:val="false"/>
          <w:color w:val="0A8E8E"/>
          <w:sz w:val="20"/>
          <w:szCs w:val="20"/>
        </w:rPr>
        <w:t xml:space="preserve">1.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1A1A2E"/>
          <w:sz w:val="20"/>
          <w:szCs w:val="20"/>
        </w:rPr>
        <w:t xml:space="preserve">Vérifier si l'activité est réglementée et choisir la dénomination sociale</w:t>
      </w:r>
    </w:p>
    <w:p>
      <w:pPr>
        <w:spacing w:after="80"/>
      </w:pPr>
      <w:r>
        <w:rPr>
          <w:rFonts w:ascii="Arial" w:cs="Arial" w:eastAsia="Arial" w:hAnsi="Arial"/>
          <w:b/>
          <w:bCs/>
          <w:i w:val="false"/>
          <w:iCs w:val="false"/>
          <w:color w:val="0A8E8E"/>
          <w:sz w:val="20"/>
          <w:szCs w:val="20"/>
        </w:rPr>
        <w:t xml:space="preserve">2.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1A1A2E"/>
          <w:sz w:val="20"/>
          <w:szCs w:val="20"/>
        </w:rPr>
        <w:t xml:space="preserve">Rédiger les statuts (objet social, capital, gérance, règles de fonctionnement)</w:t>
      </w:r>
    </w:p>
    <w:p>
      <w:pPr>
        <w:spacing w:after="80"/>
      </w:pPr>
      <w:r>
        <w:rPr>
          <w:rFonts w:ascii="Arial" w:cs="Arial" w:eastAsia="Arial" w:hAnsi="Arial"/>
          <w:b/>
          <w:bCs/>
          <w:i w:val="false"/>
          <w:iCs w:val="false"/>
          <w:color w:val="0A8E8E"/>
          <w:sz w:val="20"/>
          <w:szCs w:val="20"/>
        </w:rPr>
        <w:t xml:space="preserve">3.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1A1A2E"/>
          <w:sz w:val="20"/>
          <w:szCs w:val="20"/>
        </w:rPr>
        <w:t xml:space="preserve">Déposer le capital social sur un compte bloqué (banque, notaire ou Caisse des dépôts)</w:t>
      </w:r>
    </w:p>
    <w:p>
      <w:pPr>
        <w:spacing w:after="80"/>
      </w:pPr>
      <w:r>
        <w:rPr>
          <w:rFonts w:ascii="Arial" w:cs="Arial" w:eastAsia="Arial" w:hAnsi="Arial"/>
          <w:b/>
          <w:bCs/>
          <w:i w:val="false"/>
          <w:iCs w:val="false"/>
          <w:color w:val="0A8E8E"/>
          <w:sz w:val="20"/>
          <w:szCs w:val="20"/>
        </w:rPr>
        <w:t xml:space="preserve">4.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1A1A2E"/>
          <w:sz w:val="20"/>
          <w:szCs w:val="20"/>
        </w:rPr>
        <w:t xml:space="preserve">Publier une annonce légale de constitution dans un journal habilité</w:t>
      </w:r>
    </w:p>
    <w:p>
      <w:pPr>
        <w:spacing w:after="80"/>
      </w:pPr>
      <w:r>
        <w:rPr>
          <w:rFonts w:ascii="Arial" w:cs="Arial" w:eastAsia="Arial" w:hAnsi="Arial"/>
          <w:b/>
          <w:bCs/>
          <w:i w:val="false"/>
          <w:iCs w:val="false"/>
          <w:color w:val="0A8E8E"/>
          <w:sz w:val="20"/>
          <w:szCs w:val="20"/>
        </w:rPr>
        <w:t xml:space="preserve">5.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1A1A2E"/>
          <w:sz w:val="20"/>
          <w:szCs w:val="20"/>
        </w:rPr>
        <w:t xml:space="preserve">Déposer le dossier d'immatriculation sur le guichet unique (INPI)</w:t>
      </w:r>
    </w:p>
    <w:p>
      <w:pPr>
        <w:spacing w:after="80"/>
      </w:pPr>
      <w:r>
        <w:rPr>
          <w:rFonts w:ascii="Arial" w:cs="Arial" w:eastAsia="Arial" w:hAnsi="Arial"/>
          <w:b/>
          <w:bCs/>
          <w:i w:val="false"/>
          <w:iCs w:val="false"/>
          <w:color w:val="0A8E8E"/>
          <w:sz w:val="20"/>
          <w:szCs w:val="20"/>
        </w:rPr>
        <w:t xml:space="preserve">6.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1A1A2E"/>
          <w:sz w:val="20"/>
          <w:szCs w:val="20"/>
        </w:rPr>
        <w:t xml:space="preserve">Obtenir le Kbis, le SIREN/SIRET et le code APE</w:t>
      </w:r>
    </w:p>
    <w:p>
      <w:pPr>
        <w:spacing w:after="80"/>
      </w:pPr>
      <w:r>
        <w:rPr>
          <w:rFonts w:ascii="Arial" w:cs="Arial" w:eastAsia="Arial" w:hAnsi="Arial"/>
          <w:b/>
          <w:bCs/>
          <w:i w:val="false"/>
          <w:iCs w:val="false"/>
          <w:color w:val="0A8E8E"/>
          <w:sz w:val="20"/>
          <w:szCs w:val="20"/>
        </w:rPr>
        <w:t xml:space="preserve">7.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1A1A2E"/>
          <w:sz w:val="20"/>
          <w:szCs w:val="20"/>
        </w:rPr>
        <w:t xml:space="preserve">Souscrire les assurances obligatoires et demander l'ACRE si éligible (dans les 45 jours)</w:t>
      </w:r>
    </w:p>
    <w:p>
      <w:pPr>
        <w:pBdr>
          <w:bottom w:val="single" w:color="0A8E8E" w:sz="6" w:space="4"/>
        </w:pBdr>
        <w:spacing w:after="120" w:before="280"/>
      </w:pPr>
      <w:r>
        <w:rPr>
          <w:rFonts w:ascii="Arial" w:cs="Arial" w:eastAsia="Arial" w:hAnsi="Arial"/>
          <w:b/>
          <w:bCs/>
          <w:i w:val="false"/>
          <w:iCs w:val="false"/>
          <w:color w:val="0A8E8E"/>
          <w:sz w:val="26"/>
          <w:szCs w:val="26"/>
        </w:rPr>
        <w:t xml:space="preserve">Points de vigilance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2E"/>
          <w:sz w:val="20"/>
          <w:szCs w:val="20"/>
        </w:rPr>
        <w:t xml:space="preserve">Comptabilité complète obligatoire — expert-comptable vivement recommandé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2E"/>
          <w:sz w:val="20"/>
          <w:szCs w:val="20"/>
        </w:rPr>
        <w:t xml:space="preserve">Formalisme annuel : approbation des comptes, dépôt au greffe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2E"/>
          <w:sz w:val="20"/>
          <w:szCs w:val="20"/>
        </w:rPr>
        <w:t xml:space="preserve">Coût de création (annonce légale, éventuels honoraires) ≈ 200 à 400 €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2E"/>
          <w:sz w:val="20"/>
          <w:szCs w:val="20"/>
        </w:rPr>
        <w:t xml:space="preserve">Le choix IR/IS engage durablement — à arbitrer avec le porteur</w:t>
      </w:r>
    </w:p>
    <w:p>
      <w:pPr>
        <w:pBdr>
          <w:bottom w:val="single" w:color="0A8E8E" w:sz="6" w:space="4"/>
        </w:pBdr>
        <w:spacing w:after="120" w:before="280"/>
      </w:pPr>
      <w:r>
        <w:rPr>
          <w:rFonts w:ascii="Arial" w:cs="Arial" w:eastAsia="Arial" w:hAnsi="Arial"/>
          <w:b/>
          <w:bCs/>
          <w:i w:val="false"/>
          <w:iCs w:val="false"/>
          <w:color w:val="0A8E8E"/>
          <w:sz w:val="26"/>
          <w:szCs w:val="26"/>
        </w:rPr>
        <w:t xml:space="preserve">Avantages clés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2E"/>
          <w:sz w:val="20"/>
          <w:szCs w:val="20"/>
        </w:rPr>
        <w:t xml:space="preserve">Responsabilité limitée aux apports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2E"/>
          <w:sz w:val="20"/>
          <w:szCs w:val="20"/>
        </w:rPr>
        <w:t xml:space="preserve">Crédibilité renforcée (société immatriculée, Kbis)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2E"/>
          <w:sz w:val="20"/>
          <w:szCs w:val="20"/>
        </w:rPr>
        <w:t xml:space="preserve">Flexibilité fiscale : IR par défaut ou option IS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2E"/>
          <w:sz w:val="20"/>
          <w:szCs w:val="20"/>
        </w:rPr>
        <w:t xml:space="preserve">Transmission facilitée par cession de parts sociales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2E"/>
          <w:sz w:val="20"/>
          <w:szCs w:val="20"/>
        </w:rPr>
        <w:t xml:space="preserve">Évolution vers une SARL simple en cas d'arrivée d'associés</w:t>
      </w:r>
    </w:p>
    <w:p>
      <w:pPr>
        <w:spacing w:before="240"/>
      </w:pPr>
    </w:p>
    <w:tbl>
      <w:tblPr>
        <w:tblW w:type="dxa" w:w="900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000"/>
      </w:tblGrid>
      <w:tr>
        <w:tc>
          <w:tcPr>
            <w:tcW w:type="dxa" w:w="9000"/>
            <w:shd w:fill="1A1A2E" w:val="clear"/>
            <w:tcMar>
              <w:top w:type="dxa" w:w="220"/>
              <w:left w:type="dxa" w:w="220"/>
              <w:bottom w:type="dxa" w:w="220"/>
              <w:right w:type="dxa" w:w="220"/>
            </w:tcMar>
          </w:tcPr>
          <w:p>
            <w:pPr>
              <w:spacing w:after="6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4"/>
                <w:szCs w:val="24"/>
              </w:rPr>
              <w:t xml:space="preserve">Vous accompagnez des porteurs de projet au quotidien ?</w:t>
            </w:r>
          </w:p>
          <w:p>
            <w:pPr>
              <w:spacing w:after="6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FFFFFF"/>
                <w:sz w:val="19"/>
                <w:szCs w:val="19"/>
              </w:rPr>
              <w:t xml:space="preserve">La certification ProAcc (RS6556) — finançable AIF, OPCO, CPF, CSP</w:t>
            </w:r>
          </w:p>
          <w:p>
            <w:pPr>
              <w:spacing w:after="6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FFFFFF"/>
                <w:sz w:val="18"/>
                <w:szCs w:val="18"/>
              </w:rPr>
              <w:t xml:space="preserve">3 formules : 1 650 € · 2 600 € · 3 300 €    |    100 % distanciel    |    RS6556 active France Compétences</w:t>
            </w:r>
          </w:p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E07B00"/>
                <w:sz w:val="20"/>
                <w:szCs w:val="20"/>
              </w:rPr>
              <w:t xml:space="preserve">Simuler mon financement → creactifs.com/proacc</w:t>
            </w:r>
          </w:p>
        </w:tc>
      </w:tr>
    </w:tbl>
    <w:p>
      <w:pPr>
        <w:spacing w:before="120"/>
        <w:jc w:val="center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6B6B7B"/>
          <w:sz w:val="15"/>
          <w:szCs w:val="15"/>
        </w:rPr>
        <w:t xml:space="preserve">© CréActifs 2026 — Fiche à jour juin 2026 — creactifs.com — Document réservé aux professionnels de l'accompagnement</w:t>
      </w:r>
    </w:p>
    <w:sectPr>
      <w:pgSz w:w="11906" w:h="16838" w:orient="portrait"/>
      <w:pgMar w:top="1000" w:right="1000" w:bottom="1000" w:left="10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1A1A2E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2026-07-27T08:09:05.203Z</dcterms:created>
  <dcterms:modified xsi:type="dcterms:W3CDTF">2026-07-27T08:09:05.204Z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