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1A1A2E" w:val="clear"/>
            <w:tcMar>
              <w:top w:type="dxa" w:w="280"/>
              <w:left w:type="dxa" w:w="320"/>
              <w:bottom w:type="dxa" w:w="280"/>
              <w:right w:type="dxa" w:w="32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La micro-entreprise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52D4D4"/>
                <w:sz w:val="24"/>
                <w:szCs w:val="24"/>
              </w:rPr>
              <w:t xml:space="preserve">L'essentiel pour accompagner vos porteurs de projet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6B6B7B"/>
                <w:sz w:val="18"/>
                <w:szCs w:val="18"/>
              </w:rPr>
              <w:t xml:space="preserve">Compétences RS6556 mobilisées : </w:t>
            </w:r>
            <w:r>
              <w:rPr>
                <w:rFonts w:ascii="Arial" w:cs="Arial" w:eastAsia="Arial" w:hAnsi="Arial"/>
                <w:color w:val="A0A0A0"/>
                <w:sz w:val="18"/>
                <w:szCs w:val="18"/>
              </w:rPr>
              <w:t xml:space="preserve">C5 (statut juridique) · C6 (formalités de création)</w:t>
            </w:r>
          </w:p>
        </w:tc>
      </w:tr>
    </w:tbl>
    <w:p>
      <w:pPr>
        <w:spacing w:after="0" w:before="14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En un coup d'œil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Forme juridique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Entreprise individuelle (EI) — régime micro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Aussi appelée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Auto-entreprise (ancien nom)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Nombre d'associés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1 seul — le dirigeant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Capital minimum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Responsabilité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Limitée au patrimoine professionnel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Dirigeant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Entrepreneur individuel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TNS — Sécurité Sociale des Indépendants (SSI)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Imposition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IR (impôt sur le revenu) sur le CA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TVA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Franchise en base sous les seuils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Comptabilité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Ultra simplifiée — livre de recettes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808"/>
      </w:tblGrid>
      <w:tr>
        <w:tc>
          <w:tcPr>
            <w:tcW w:type="dxa" w:w="475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none"/>
                    <w:left w:val="none"/>
                    <w:bottom w:val="none"/>
                    <w:right w:val="none"/>
                  </w:tcBorders>
                  <w:shd w:fill="0A8E8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Idéal pour...</w:t>
                  </w:r>
                </w:p>
              </w:tc>
            </w:tr>
          </w:tbl>
          <w:p>
            <w:pPr>
              <w:spacing w:after="0" w:before="80"/>
            </w:pPr>
            <w:r>
              <w:t xml:space="preserve"/>
            </w:r>
          </w:p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1C6B3A" w:sz="1"/>
                    <w:left w:val="single" w:color="1C6B3A" w:sz="8"/>
                    <w:bottom w:val="single" w:color="1C6B3A" w:sz="1"/>
                    <w:right w:val="single" w:color="1C6B3A" w:sz="1"/>
                  </w:tcBorders>
                  <w:shd w:fill="E8F5E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0" w:before="0"/>
                  </w:pPr>
                  <w:r>
                    <w:t xml:space="preserve"/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Tester une activité avant de créer une société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Activité complémentaire ou en parallèle d'un emploi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CA prévisible et limité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Faibles charges d'exploitation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Professions libérales non réglementées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✅  Prestataires de services (coaching, conseil...)</w:t>
                  </w:r>
                </w:p>
              </w:tc>
            </w:tr>
          </w:tbl>
          <w:p/>
        </w:tc>
        <w:tc>
          <w:tcPr>
            <w:tcW w:type="dxa" w:w="4808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80"/>
              <w:bottom w:type="dxa" w:w="0"/>
              <w:right w:type="dxa" w:w="0"/>
            </w:tcMar>
          </w:tcPr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none"/>
                    <w:left w:val="none"/>
                    <w:bottom w:val="none"/>
                    <w:right w:val="none"/>
                  </w:tcBorders>
                  <w:shd w:fill="0A8E8E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24"/>
                      <w:szCs w:val="24"/>
                    </w:rPr>
                    <w:t xml:space="preserve">Pas adapté si...</w:t>
                  </w:r>
                </w:p>
              </w:tc>
            </w:tr>
          </w:tbl>
          <w:p>
            <w:pPr>
              <w:spacing w:after="0" w:before="80"/>
            </w:pPr>
            <w:r>
              <w:t xml:space="preserve"/>
            </w:r>
          </w:p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C0392B" w:sz="1"/>
                    <w:left w:val="single" w:color="C0392B" w:sz="8"/>
                    <w:bottom w:val="single" w:color="C0392B" w:sz="1"/>
                    <w:right w:val="single" w:color="C0392B" w:sz="1"/>
                  </w:tcBorders>
                  <w:shd w:fill="FDECEA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0" w:before="0"/>
                  </w:pPr>
                  <w:r>
                    <w:t xml:space="preserve"/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❌  Grosses dépenses d'installation ou d'investissement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❌  Activités réglementées (avocat, médecin, notaire...)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❌  Projet ambitieux nécessitant des associés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❌  Financement extérieur important prévu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❌  CA dépassant rapidement les seuils</w:t>
                  </w:r>
                </w:p>
              </w:tc>
            </w:tr>
          </w:tbl>
          <w:p/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Les seuils à connaître (2026)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12"/>
        <w:gridCol w:w="3212"/>
        <w:gridCol w:w="3214"/>
      </w:tblGrid>
      <w:tr>
        <w:trPr>
          <w:tblHeader/>
        </w:trPr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Type d'activité</w:t>
            </w:r>
          </w:p>
        </w:tc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Plafond CA micro</w:t>
            </w:r>
          </w:p>
        </w:tc>
        <w:tc>
          <w:tcPr>
            <w:tcW w:type="dxa" w:w="3214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Seuil franchise TVA</w:t>
            </w:r>
          </w:p>
        </w:tc>
      </w:tr>
      <w:tr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Vente, fabrication, hôtellerie, restauration</w:t>
            </w:r>
          </w:p>
        </w:tc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203 100 € HT</w:t>
            </w:r>
          </w:p>
        </w:tc>
        <w:tc>
          <w:tcPr>
            <w:tcW w:type="dxa" w:w="3214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07B00"/>
                <w:sz w:val="20"/>
                <w:szCs w:val="20"/>
              </w:rPr>
              <w:t xml:space="preserve">85 000 € HT</w:t>
            </w:r>
          </w:p>
        </w:tc>
      </w:tr>
      <w:tr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Prestations de services &amp; professions libérales</w:t>
            </w:r>
          </w:p>
        </w:tc>
        <w:tc>
          <w:tcPr>
            <w:tcW w:type="dxa" w:w="3212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83 600 € HT</w:t>
            </w:r>
          </w:p>
        </w:tc>
        <w:tc>
          <w:tcPr>
            <w:tcW w:type="dxa" w:w="3214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07B00"/>
                <w:sz w:val="20"/>
                <w:szCs w:val="20"/>
              </w:rPr>
              <w:t xml:space="preserve">37 500 € HT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E07B00" w:sz="1"/>
              <w:left w:val="single" w:color="E07B00" w:sz="8"/>
              <w:bottom w:val="single" w:color="E07B00" w:sz="1"/>
              <w:right w:val="single" w:color="E07B00" w:sz="1"/>
            </w:tcBorders>
            <w:shd w:fill="FFF4E0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E07B00"/>
                <w:sz w:val="20"/>
                <w:szCs w:val="20"/>
              </w:rPr>
              <w:t xml:space="preserve">Important — règle des 2 ans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 dépassement des seuils sur une seule année ne fait pas perdre le statut automatiquement.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Si les seuils sont dépassés pendant 2 années civiles consécutives → passage au régime réel obligatoire.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En cas de création en cours d'année, les seuils sont calculés au prorata temporis (jours calendaires).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Cotisations sociales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9"/>
        <w:gridCol w:w="2409"/>
        <w:gridCol w:w="2409"/>
        <w:gridCol w:w="2411"/>
      </w:tblGrid>
      <w:tr>
        <w:trPr>
          <w:tblHeader/>
        </w:trPr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Type d'activité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Taux cotisations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Versement libératoire IR</w:t>
            </w:r>
          </w:p>
        </w:tc>
        <w:tc>
          <w:tcPr>
            <w:tcW w:type="dxa" w:w="2411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1A1A2E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Cotisation minimale</w:t>
            </w:r>
          </w:p>
        </w:tc>
      </w:tr>
      <w:tr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Vente de marchandises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12,3 %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1 %</w:t>
            </w:r>
          </w:p>
        </w:tc>
        <w:tc>
          <w:tcPr>
            <w:tcW w:type="dxa" w:w="2411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Aucune si CA = 0</w:t>
            </w:r>
          </w:p>
        </w:tc>
      </w:tr>
      <w:tr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Prestations de services BIC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21,2 %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1,7 %</w:t>
            </w:r>
          </w:p>
        </w:tc>
        <w:tc>
          <w:tcPr>
            <w:tcW w:type="dxa" w:w="2411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Aucune si CA = 0</w:t>
            </w:r>
          </w:p>
        </w:tc>
      </w:tr>
      <w:tr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Professions libérales BNC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23,1 %</w:t>
            </w:r>
          </w:p>
        </w:tc>
        <w:tc>
          <w:tcPr>
            <w:tcW w:type="dxa" w:w="2409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2,2 %</w:t>
            </w:r>
          </w:p>
        </w:tc>
        <w:tc>
          <w:tcPr>
            <w:tcW w:type="dxa" w:w="2411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E6F7F7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Aucune si CA = 0</w:t>
            </w:r>
          </w:p>
        </w:tc>
      </w:tr>
    </w:tbl>
    <w:p>
      <w:pPr>
        <w:spacing w:after="0" w:before="6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A8E8E" w:sz="1"/>
              <w:left w:val="single" w:color="0A8E8E" w:sz="8"/>
              <w:bottom w:val="single" w:color="0A8E8E" w:sz="1"/>
              <w:right w:val="single" w:color="0A8E8E" w:sz="1"/>
            </w:tcBorders>
            <w:shd w:fill="E6F7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À retenir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Pas de CA encaissé = pas de cotisations sociales à payer. C'est le principal avantage du régime micro.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 dirigeant est TNS (Travailleur Non Salarié) — affilié à la SSI. Il ne cotise pas à l'assurance chômage.</w:t>
            </w:r>
          </w:p>
          <w:p>
            <w:pPr>
              <w:spacing w:after="30" w:before="3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Les cotisations sont versées mensuellement ou trimestriellement selon le choix du micro-entrepreneur.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Aides mobilisables au lancement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808"/>
      </w:tblGrid>
      <w:tr>
        <w:tc>
          <w:tcPr>
            <w:tcW w:type="dxa" w:w="475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1C6B3A" w:sz="1"/>
                    <w:left w:val="single" w:color="1C6B3A" w:sz="8"/>
                    <w:bottom w:val="single" w:color="1C6B3A" w:sz="1"/>
                    <w:right w:val="single" w:color="1C6B3A" w:sz="1"/>
                  </w:tcBorders>
                  <w:shd w:fill="E8F5EC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6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C6B3A"/>
                      <w:sz w:val="20"/>
                      <w:szCs w:val="20"/>
                    </w:rPr>
                    <w:t xml:space="preserve">ACRE — Exonération de charges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Exonération partielle de cotisations sociales la 1re année.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Depuis le 1er juillet 2026 : taux réduit à 25% (contre 50% auparavant).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Demande obligatoire auprès de l'URSSAF dans les 60 jours.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Conditions d'éligibilité à vérifier avec le porteur.</w:t>
                  </w:r>
                </w:p>
              </w:tc>
            </w:tr>
          </w:tbl>
          <w:p>
            <w:pPr>
              <w:spacing w:after="0" w:before="80"/>
            </w:pPr>
            <w:r>
              <w:t xml:space="preserve"/>
            </w:r>
          </w:p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1A5FA5" w:sz="1"/>
                    <w:left w:val="single" w:color="1A5FA5" w:sz="8"/>
                    <w:bottom w:val="single" w:color="1A5FA5" w:sz="1"/>
                    <w:right w:val="single" w:color="1A5FA5" w:sz="1"/>
                  </w:tcBorders>
                  <w:shd w:fill="EAF2FB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6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A5FA5"/>
                      <w:sz w:val="20"/>
                      <w:szCs w:val="20"/>
                    </w:rPr>
                    <w:t xml:space="preserve">Maintien des ARE (option A)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Le porteur cumule ses allocations chômage avec les revenus de l'activité.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France Travail ajuste le montant mensuel selon les revenus déclarés.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Recommandé si l'activité démarre progressivement.</w:t>
                  </w:r>
                </w:p>
              </w:tc>
            </w:tr>
          </w:tbl>
          <w:p/>
        </w:tc>
        <w:tc>
          <w:tcPr>
            <w:tcW w:type="dxa" w:w="4808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80"/>
              <w:bottom w:type="dxa" w:w="0"/>
              <w:right w:type="dxa" w:w="0"/>
            </w:tcMar>
          </w:tcPr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E07B00" w:sz="1"/>
                    <w:left w:val="single" w:color="E07B00" w:sz="8"/>
                    <w:bottom w:val="single" w:color="E07B00" w:sz="1"/>
                    <w:right w:val="single" w:color="E07B00" w:sz="1"/>
                  </w:tcBorders>
                  <w:shd w:fill="FFF4E0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6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07B00"/>
                      <w:sz w:val="20"/>
                      <w:szCs w:val="20"/>
                    </w:rPr>
                    <w:t xml:space="preserve">ARCE — Capital (option B)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Versement de 60 % du reliquat des droits ARE en capital (en 2 fois).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Conditions : bénéficier de l'ARE + obtenir l'ACRE.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Recommandé si le projet nécessite un investissement de départ.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⚠️ ARCE et maintien ARE sont exclusifs : choix stratégique à arbitrer.</w:t>
                  </w:r>
                </w:p>
              </w:tc>
            </w:tr>
          </w:tbl>
          <w:p>
            <w:pPr>
              <w:spacing w:after="0" w:before="80"/>
            </w:pPr>
            <w:r>
              <w:t xml:space="preserve"/>
            </w:r>
          </w:p>
          <w:tbl>
            <w:tblPr>
              <w:tblW w:type="dxa" w:w="963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9638"/>
            </w:tblGrid>
            <w:tr>
              <w:tc>
                <w:tcPr>
                  <w:tcW w:type="dxa" w:w="9638"/>
                  <w:tcBorders>
                    <w:top w:val="single" w:color="6B6B7B" w:sz="1"/>
                    <w:left w:val="single" w:color="6B6B7B" w:sz="8"/>
                    <w:bottom w:val="single" w:color="6B6B7B" w:sz="1"/>
                    <w:right w:val="single" w:color="6B6B7B" w:sz="1"/>
                  </w:tcBorders>
                  <w:shd w:fill="F7F7F5" w:val="clear"/>
                  <w:tcMar>
                    <w:top w:type="dxa" w:w="100"/>
                    <w:left w:type="dxa" w:w="160"/>
                    <w:bottom w:type="dxa" w:w="100"/>
                    <w:right w:type="dxa" w:w="160"/>
                  </w:tcMar>
                </w:tcPr>
                <w:p>
                  <w:pPr>
                    <w:spacing w:after="60" w:before="0"/>
                  </w:pPr>
                  <w:r>
                    <w:rPr>
                      <w:rFonts w:ascii="Arial" w:cs="Arial" w:eastAsia="Arial" w:hAnsi="Arial"/>
                      <w:b/>
                      <w:bCs/>
                      <w:color w:val="6B6B7B"/>
                      <w:sz w:val="20"/>
                      <w:szCs w:val="20"/>
                    </w:rPr>
                    <w:t xml:space="preserve">Autres dispositifs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Exonération CFE la 1re année (voire 3 ans selon la collectivité).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Aides régionales selon le territoire.</w:t>
                  </w:r>
                </w:p>
                <w:p>
                  <w:pPr>
                    <w:spacing w:after="30" w:before="30"/>
                  </w:pPr>
                  <w:r>
                    <w:rPr>
                      <w:rFonts w:ascii="Arial" w:cs="Arial" w:eastAsia="Arial" w:hAnsi="Arial"/>
                      <w:color w:val="1A1A2E"/>
                      <w:sz w:val="20"/>
                      <w:szCs w:val="20"/>
                    </w:rPr>
                    <w:t xml:space="preserve">Pas de compte bancaire dédié obligatoire si CA &lt; 10 000 €/an.</w:t>
                  </w:r>
                </w:p>
              </w:tc>
            </w:tr>
          </w:tbl>
          <w:p/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Démarches de création — étape par étape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9038"/>
      </w:tblGrid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1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Vérifier l'éligibilité au régime micro (activité non exclue, seuils CA compatibles avec le projet, statut non réglementé)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2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Créer le compte sur guichet-entreprises.fr ou autoentrepreneur.urssaf.fr → déclaration d'activité en ligne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3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Choisir la périodicité de déclaration CA : mensuelle (recommandée) ou trimestrielle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4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Choisir l'option versement libératoire de l'IR si les revenus du foyer sont inférieurs au seuil (61 152 € N-2 pour 1 part)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5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Demander l'ACRE à l'URSSAF dans les 60 jours si éligible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6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Ouvrir un compte bancaire dédié si CA &gt; 10 000 € / an (fortement recommandé dans tous les cas)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7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Souscrire les assurances obligatoires selon l'activité (RC Pro, décennale pour BTP…)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8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Tenir le livre de recettes (+ livre d'achats pour les activités de vente)</w:t>
            </w:r>
          </w:p>
        </w:tc>
      </w:tr>
      <w:tr>
        <w:tc>
          <w:tcPr>
            <w:tcW w:type="dxa" w:w="6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0A8E8E" w:val="clear"/>
            <w:tcMar>
              <w:top w:type="dxa" w:w="100"/>
              <w:left w:type="dxa" w:w="80"/>
              <w:bottom w:type="dxa" w:w="10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9</w:t>
            </w:r>
          </w:p>
        </w:tc>
        <w:tc>
          <w:tcPr>
            <w:tcW w:type="dxa" w:w="90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Déclarer le CA chaque mois ou trimestre sur autoentrepreneur.urssaf.fr (même si CA = 0)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Points de vigilance à aborder avec le porteur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808"/>
      </w:tblGrid>
      <w:tr>
        <w:tc>
          <w:tcPr>
            <w:tcW w:type="dxa" w:w="4750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pPr>
              <w:spacing w:after="6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Protection sociale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Le micro-entrepreneur ne cotise pas à l'assurance chômage. En cas d'arrêt de l'activité, pas de droits ARE générés.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La couverture maladie et retraite est proportionnelle au CA déclaré. Si le CA est faible, les droits à la retraite seront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Un ancien salarié peut maintenir ses droits ARE s'il remplit les conditions — à arbitrer avec France Travail avant de se lancer.</w:t>
            </w:r>
          </w:p>
          <w:p>
            <w:pPr>
              <w:spacing w:after="0" w:before="80"/>
            </w:pPr>
            <w:r>
              <w:t xml:space="preserve"/>
            </w:r>
          </w:p>
          <w:p>
            <w:pPr>
              <w:spacing w:after="6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Charges non déductibles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En régime micro, aucune charge réelle n'est déductible. L'abattement forfaitaire remplace toutes les charges.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Si les charges réelles sont supérieures à l'abattement → le régime micro est défavorable → envisager le régime réel ou une société.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Abattements forfaitaires : 71% vente / 50% services BIC / 34% BNC.</w:t>
            </w:r>
          </w:p>
        </w:tc>
        <w:tc>
          <w:tcPr>
            <w:tcW w:type="dxa" w:w="4808"/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80"/>
              <w:bottom w:type="dxa" w:w="0"/>
              <w:right w:type="dxa" w:w="0"/>
            </w:tcMar>
          </w:tcPr>
          <w:p>
            <w:pPr>
              <w:spacing w:after="6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TVA et facturation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Sous les seuils de franchise : pas de TVA collectée ni déductible. Mention obligatoire : « TVA non applicable - art. 293 B du CGI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Si le porteur travaille principalement avec des pros assujettis à la TVA → le régime micro peut être un handicap commercial.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Dès dépassement du seuil de franchise, assujettissement à la TVA dès le 1er jour du mois de dépassement.</w:t>
            </w:r>
          </w:p>
          <w:p>
            <w:pPr>
              <w:spacing w:after="0" w:before="80"/>
            </w:pPr>
            <w:r>
              <w:t xml:space="preserve"/>
            </w:r>
          </w:p>
          <w:p>
            <w:pPr>
              <w:spacing w:after="60" w:before="40"/>
              <w:jc w:val="left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Transition vers une société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Depuis 2022 : le passage micro → société est simplifié (transfert du patrimoine professionnel en une seule opération).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Cette évolution doit être anticipée dans le business plan si le projet vise une croissance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rFonts w:ascii="Arial" w:cs="Arial" w:eastAsia="Arial" w:hAnsi="Arial"/>
                <w:b w:val="false"/>
                <w:bCs w:val="false"/>
                <w:color w:val="1A1A2E"/>
                <w:sz w:val="20"/>
                <w:szCs w:val="20"/>
              </w:rPr>
              <w:t xml:space="preserve">Moment opportun pour envisager le passage : CA proche des seuils, arrivée d'associés, besoin de crédibilité face à des clients pro.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0A8E8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Résumé fiscal et social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Impôt sur le revenu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IR sur le bénéfice (CA – abattement forfaitaire). Option versement libératoire possible si revenu fiscal de référence N-2 sous le seuil.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Impôt sur les sociétés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Non applicable — la micro-entreprise ne peut pas être soumise à l'IS.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Déclarations fiscales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Déclaration annuelle de revenus (formulaire 2042-C-PRO) + déclaration de CA mensuelle ou trimestrielle.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CFE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Cotisation Foncière des Entreprises — exonération la 1re année (jusqu'à 3 ans selon la collectivité).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7F7F5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Régime social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SSI (Sécurité Sociale des Indépendants) — pas de chômage.</w:t>
            </w:r>
          </w:p>
        </w:tc>
      </w:tr>
      <w:tr>
        <w:tc>
          <w:tcPr>
            <w:tcW w:type="dxa" w:w="3200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19"/>
                <w:szCs w:val="19"/>
              </w:rPr>
              <w:t xml:space="preserve">Protection patrimoine</w:t>
            </w:r>
          </w:p>
        </w:tc>
        <w:tc>
          <w:tcPr>
            <w:tcW w:type="dxa" w:w="6438"/>
            <w:tcBorders>
              <w:top w:val="single" w:color="D8D6D0" w:sz="1"/>
              <w:left w:val="single" w:color="D8D6D0" w:sz="1"/>
              <w:bottom w:val="single" w:color="D8D6D0" w:sz="1"/>
              <w:right w:val="single" w:color="D8D6D0" w:sz="1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  <w:vAlign w:val="center"/>
          </w:tcPr>
          <w:p>
            <w:r>
              <w:rPr>
                <w:rFonts w:ascii="Arial" w:cs="Arial" w:eastAsia="Arial" w:hAnsi="Arial"/>
                <w:color w:val="1A1A2E"/>
                <w:sz w:val="19"/>
                <w:szCs w:val="19"/>
              </w:rPr>
              <w:t xml:space="preserve">Depuis 2022 : séparation automatique du patrimoine professionnel et personnel.</w:t>
            </w:r>
          </w:p>
        </w:tc>
      </w:tr>
    </w:tbl>
    <w:p>
      <w:pPr>
        <w:spacing w:after="0" w:before="14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0A8E8E" w:sz="6"/>
              <w:left w:val="single" w:color="0A8E8E" w:sz="6"/>
              <w:bottom w:val="single" w:color="0A8E8E" w:sz="6"/>
              <w:right w:val="single" w:color="0A8E8E" w:sz="6"/>
            </w:tcBorders>
            <w:shd w:fill="E6F7F7" w:val="clear"/>
            <w:tcMar>
              <w:top w:type="dxa" w:w="180"/>
              <w:left w:type="dxa" w:w="280"/>
              <w:bottom w:type="dxa" w:w="180"/>
              <w:right w:type="dxa" w:w="28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1A1A2E"/>
                <w:sz w:val="24"/>
                <w:szCs w:val="24"/>
              </w:rPr>
              <w:t xml:space="preserve">Vous accompagnez des porteurs de projet au quotidien ?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6B6B7B"/>
                <w:sz w:val="21"/>
                <w:szCs w:val="21"/>
              </w:rPr>
              <w:t xml:space="preserve">La certification ProAcc (RS6556) est faite pour vous — finançable AIF, OPCO, CPF, CSP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 formules : 1 650€ · 2 600€ · 3 300€   |   100% distanciel   |   Certification active France Compétences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Simuler mon financement et prendre rendez-vous → </w:t>
            </w:r>
            <w:r>
              <w:rPr>
                <w:rFonts w:ascii="Arial" w:cs="Arial" w:eastAsia="Arial" w:hAnsi="Arial"/>
                <w:b/>
                <w:bCs/>
                <w:color w:val="0A8E8E"/>
                <w:sz w:val="20"/>
                <w:szCs w:val="20"/>
              </w:rPr>
              <w:t xml:space="preserve">creactifs.com/proacc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6B6B7B"/>
          <w:sz w:val="16"/>
          <w:szCs w:val="16"/>
        </w:rPr>
        <w:t xml:space="preserve">© CréActifs 2026 — Fiche mise à jour juin 2026 — </w:t>
      </w:r>
      <w:r>
        <w:rPr>
          <w:rFonts w:ascii="Arial" w:cs="Arial" w:eastAsia="Arial" w:hAnsi="Arial"/>
          <w:color w:val="0A8E8E"/>
          <w:sz w:val="16"/>
          <w:szCs w:val="16"/>
        </w:rPr>
        <w:t xml:space="preserve">creactifs.com</w:t>
      </w:r>
      <w:r>
        <w:rPr>
          <w:rFonts w:ascii="Arial" w:cs="Arial" w:eastAsia="Arial" w:hAnsi="Arial"/>
          <w:color w:val="6B6B7B"/>
          <w:sz w:val="16"/>
          <w:szCs w:val="16"/>
        </w:rPr>
        <w:t xml:space="preserve"> — Document réservé aux professionnels de l'accompagnement</w:t>
      </w:r>
    </w:p>
    <w:sectPr>
      <w:headerReference w:type="default" r:id="rId7"/>
      <w:footerReference w:type="default" r:id="rId8"/>
      <w:pgSz w:w="11906" w:h="16838" w:orient="portrait"/>
      <w:pgMar w:top="1200" w:right="1100" w:bottom="12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9638"/>
    </w:tblGrid>
    <w:tr>
      <w:tc>
        <w:tcPr>
          <w:tcW w:type="dxa" w:w="9638"/>
          <w:tcBorders>
            <w:top w:val="single" w:color="0A8E8E" w:sz="1"/>
            <w:left w:val="none"/>
            <w:bottom w:val="none"/>
            <w:right w:val="none"/>
          </w:tcBorders>
          <w:shd w:fill="1A1A2E" w:val="clear"/>
          <w:tcMar>
            <w:top w:type="dxa" w:w="100"/>
            <w:left w:type="dxa" w:w="160"/>
            <w:bottom w:type="dxa" w:w="100"/>
            <w:right w:type="dxa" w:w="160"/>
          </w:tcMar>
        </w:tcPr>
        <w:p>
          <w:pPr>
            <w:spacing w:after="0" w:before="0"/>
          </w:pPr>
          <w:r>
            <w:rPr>
              <w:rFonts w:ascii="Arial" w:cs="Arial" w:eastAsia="Arial" w:hAnsi="Arial"/>
              <w:color w:val="FFFFFF"/>
              <w:sz w:val="17"/>
              <w:szCs w:val="17"/>
            </w:rPr>
            <w:t xml:space="preserve">Vous accompagnez des porteurs de projet ? Découvrez la certification ProAcc RS6556 — finançable AIF, OPCO, CPF   </w:t>
          </w:r>
          <w:r>
            <w:rPr>
              <w:rFonts w:ascii="Arial" w:cs="Arial" w:eastAsia="Arial" w:hAnsi="Arial"/>
              <w:b/>
              <w:bCs/>
              <w:color w:val="52D4D4"/>
              <w:sz w:val="17"/>
              <w:szCs w:val="17"/>
            </w:rPr>
            <w:t xml:space="preserve">creactifs.com/proacc</w:t>
          </w:r>
          <w:r>
            <w:rPr>
              <w:rFonts w:ascii="Arial" w:cs="Arial" w:eastAsia="Arial" w:hAnsi="Arial"/>
              <w:color w:val="6B6B7B"/>
              <w:sz w:val="15"/>
              <w:szCs w:val="15"/>
            </w:rPr>
            <w:t xml:space="preserve">   |   UTM: utm_source=pdf&amp;utm_medium=fiche&amp;utm_campaign=micro-entreprise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38"/>
      <w:gridCol w:w="3000"/>
    </w:tblGrid>
    <w:tr>
      <w:tc>
        <w:tcPr>
          <w:tcW w:type="dxa" w:w="6638"/>
          <w:tcBorders>
            <w:top w:val="none"/>
            <w:left w:val="none"/>
            <w:bottom w:val="single" w:color="0A8E8E" w:sz="1"/>
            <w:right w:val="none"/>
          </w:tcBorders>
          <w:tcMar>
            <w:top w:type="dxa" w:w="0"/>
            <w:left w:type="dxa" w:w="0"/>
            <w:bottom w:type="dxa" w:w="80"/>
            <w:right w:type="dxa" w:w="0"/>
          </w:tcMar>
        </w:tcPr>
        <w:p>
          <w:pPr>
            <w:spacing w:after="20" w:before="0"/>
          </w:pPr>
          <w:r>
            <w:rPr>
              <w:rFonts w:ascii="Arial" w:cs="Arial" w:eastAsia="Arial" w:hAnsi="Arial"/>
              <w:b/>
              <w:bCs/>
              <w:color w:val="0A8E8E"/>
              <w:sz w:val="30"/>
              <w:szCs w:val="30"/>
            </w:rPr>
            <w:t xml:space="preserve">CréActifs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color w:val="6B6B7B"/>
              <w:sz w:val="17"/>
              <w:szCs w:val="17"/>
            </w:rPr>
            <w:t xml:space="preserve">Accompagner les créateurs d'entreprise vers le succès</w:t>
          </w:r>
        </w:p>
      </w:tc>
      <w:tc>
        <w:tcPr>
          <w:tcW w:type="dxa" w:w="3000"/>
          <w:tcBorders>
            <w:top w:val="none"/>
            <w:left w:val="none"/>
            <w:bottom w:val="single" w:color="0A8E8E" w:sz="1"/>
            <w:right w:val="none"/>
          </w:tcBorders>
          <w:tcMar>
            <w:top w:type="dxa" w:w="0"/>
            <w:left w:type="dxa" w:w="0"/>
            <w:bottom w:type="dxa" w:w="80"/>
            <w:right w:type="dxa" w:w="0"/>
          </w:tcMar>
          <w:vAlign w:val="bottom"/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b/>
              <w:bCs/>
              <w:color w:val="0A8E8E"/>
              <w:sz w:val="17"/>
              <w:szCs w:val="17"/>
            </w:rPr>
            <w:t xml:space="preserve">FICHE PRATIQUE | Statuts juridiques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480" w:hanging="280"/>
      </w:pPr>
    </w:lvl>
    <w:lvl w:ilvl="1" w15:tentative="1">
      <w:start w:val="1"/>
      <w:numFmt w:val="bullet"/>
      <w:lvlText w:val="–"/>
      <w:lvlJc w:val="left"/>
      <w:pPr>
        <w:ind w:left="80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2026-07-01T09:36:07.070Z</dcterms:created>
  <dcterms:modified xsi:type="dcterms:W3CDTF">2026-07-01T09:36:07.070Z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